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6FEEC" w14:textId="77777777" w:rsidR="007C7754" w:rsidRPr="007C7754" w:rsidRDefault="007C7754" w:rsidP="00EB5131">
      <w:pPr>
        <w:pStyle w:val="KonuBal"/>
        <w:keepNext/>
        <w:spacing w:after="180" w:line="264" w:lineRule="auto"/>
        <w:jc w:val="both"/>
        <w:rPr>
          <w:bCs/>
        </w:rPr>
      </w:pPr>
      <w:r w:rsidRPr="007C7754">
        <w:rPr>
          <w:rFonts w:ascii="Arial" w:eastAsia="Arial" w:hAnsi="Arial" w:cs="Arial"/>
          <w:bCs/>
          <w:sz w:val="29"/>
        </w:rPr>
        <w:t>MYK MESLEKİ YETERLİLİK BELGESİNİN ULUSAL VE ULUSLARARASI GEÇERLİLİĞİ</w:t>
      </w:r>
    </w:p>
    <w:p w14:paraId="527E5809" w14:textId="77777777" w:rsidR="007C7754" w:rsidRPr="007C7754" w:rsidRDefault="007C7754" w:rsidP="00EB5131">
      <w:pPr>
        <w:spacing w:after="80" w:line="247" w:lineRule="auto"/>
        <w:jc w:val="both"/>
      </w:pPr>
      <w:r w:rsidRPr="007C7754">
        <w:rPr>
          <w:rFonts w:eastAsia="Arial" w:cs="Arial"/>
          <w:sz w:val="21"/>
        </w:rPr>
        <w:t>MYK Mesleki Yeterlilik Belgesi, kişinin mesleğinin gerektirdiği bilgi, beceri ve yetkinliklere sahip olduğunu, ulusal yeterliliklerde belirlenen ölçütlere göre gerçekleştirilen sınavlarla doğrulayan resmî bir yeterlilik belgesidir. Çalışanın mesleki becerisini görünür kılar; işverene ise personel seçiminde ve görevlendirmede somut bir değerlendirme dayanağı sunar.</w:t>
      </w:r>
    </w:p>
    <w:p w14:paraId="540422DE" w14:textId="77777777" w:rsidR="007C7754" w:rsidRPr="007C7754" w:rsidRDefault="007C7754" w:rsidP="00EB5131">
      <w:pPr>
        <w:spacing w:after="80" w:line="247" w:lineRule="auto"/>
        <w:jc w:val="both"/>
      </w:pPr>
      <w:r w:rsidRPr="007C7754">
        <w:rPr>
          <w:rFonts w:eastAsia="Arial" w:cs="Arial"/>
          <w:sz w:val="21"/>
        </w:rPr>
        <w:t>Belgelendirme işlemleri, TS EN ISO/IEC 17024 standardına göre TÜRKAK tarafından akredite edilmiş ve Mesleki Yeterlilik Kurumu (MYK) tarafından yetkilendirilmiş kuruluşlar tarafından yürütülmektedir. Akreditasyon ve yetkilendirme sistemi, sınav ve belgelendirme faaliyetlerinin tarafsız, güvenilir ve belirlenmiş kalite şartlarına uygun şekilde gerçekleştirilmesini desteklemektedir.</w:t>
      </w:r>
    </w:p>
    <w:p w14:paraId="3DBA7112" w14:textId="77777777" w:rsidR="007C7754" w:rsidRPr="007C7754" w:rsidRDefault="007C7754" w:rsidP="00EB5131">
      <w:pPr>
        <w:pStyle w:val="Balk1"/>
        <w:keepLines w:val="0"/>
        <w:spacing w:before="160" w:line="259" w:lineRule="auto"/>
        <w:jc w:val="both"/>
        <w:rPr>
          <w:bCs/>
        </w:rPr>
      </w:pPr>
      <w:r w:rsidRPr="007C7754">
        <w:rPr>
          <w:rFonts w:ascii="Arial" w:eastAsia="Arial" w:hAnsi="Arial" w:cs="Arial"/>
          <w:bCs/>
          <w:sz w:val="22"/>
        </w:rPr>
        <w:t>Ulusal Geçerliliği ve Yasal Önemi</w:t>
      </w:r>
    </w:p>
    <w:p w14:paraId="349091E3" w14:textId="77777777" w:rsidR="007C7754" w:rsidRPr="007C7754" w:rsidRDefault="007C7754" w:rsidP="00EB5131">
      <w:pPr>
        <w:spacing w:after="80" w:line="247" w:lineRule="auto"/>
        <w:jc w:val="both"/>
      </w:pPr>
      <w:r w:rsidRPr="007C7754">
        <w:rPr>
          <w:rFonts w:eastAsia="Arial" w:cs="Arial"/>
          <w:sz w:val="21"/>
        </w:rPr>
        <w:t>MYK Mesleki Yeterlilik Belgesi, Türkiye genelinde, belgede belirtilen meslek, seviye ve yeterlilik birimleri kapsamında geçerlidir. Çalışanın iş başında veya farklı öğrenme yollarıyla kazandığı becerilerin ortak ölçütlerle değerlendirilmesini sağlayarak mesleki yeterliliğini farklı işverenlere sunmasına imkân tanır.</w:t>
      </w:r>
    </w:p>
    <w:p w14:paraId="29397CD8" w14:textId="77777777" w:rsidR="007C7754" w:rsidRPr="007C7754" w:rsidRDefault="007C7754" w:rsidP="00EB5131">
      <w:pPr>
        <w:spacing w:after="80" w:line="247" w:lineRule="auto"/>
        <w:jc w:val="both"/>
      </w:pPr>
      <w:r w:rsidRPr="007C7754">
        <w:rPr>
          <w:rFonts w:eastAsia="Arial" w:cs="Arial"/>
          <w:sz w:val="21"/>
        </w:rPr>
        <w:t>5544 sayılı Mesleki Yeterlilik Kurumu Kanunu kapsamında yayımlanan tebliğlerle 244 meslek belge zorunluluğu kapsamına alınmıştır. 7 Ekim 2026 itibarıyla 204 meslekte zorunluluk uygulanmakta olup yeni eklenen 40 meslekte uygulama 23 Mart 2027 tarihinde başlayacaktır. Zorunluluğu başlamış mesleklerde, mevzuatta tanımlanan muafiyet şartlarını taşımadığı hâlde belgesiz çalıştırılan her bir kişi için işverene 2026 yılında 8.980 TL idari para cezası uygulanmaktadır.</w:t>
      </w:r>
    </w:p>
    <w:p w14:paraId="1D7739F8" w14:textId="77777777" w:rsidR="007C7754" w:rsidRPr="007C7754" w:rsidRDefault="007C7754" w:rsidP="00EB5131">
      <w:pPr>
        <w:pStyle w:val="Balk1"/>
        <w:keepLines w:val="0"/>
        <w:spacing w:before="160" w:line="259" w:lineRule="auto"/>
        <w:jc w:val="both"/>
        <w:rPr>
          <w:bCs/>
        </w:rPr>
      </w:pPr>
      <w:r w:rsidRPr="007C7754">
        <w:rPr>
          <w:rFonts w:ascii="Arial" w:eastAsia="Arial" w:hAnsi="Arial" w:cs="Arial"/>
          <w:bCs/>
          <w:sz w:val="22"/>
        </w:rPr>
        <w:t>İşletmelere ve Çalışanlara Sağladığı Değer</w:t>
      </w:r>
    </w:p>
    <w:p w14:paraId="01F7AE39" w14:textId="77777777" w:rsidR="007C7754" w:rsidRPr="007C7754" w:rsidRDefault="007C7754" w:rsidP="00EB5131">
      <w:pPr>
        <w:spacing w:after="80" w:line="247" w:lineRule="auto"/>
        <w:jc w:val="both"/>
      </w:pPr>
      <w:r w:rsidRPr="007C7754">
        <w:rPr>
          <w:rFonts w:eastAsia="Arial" w:cs="Arial"/>
          <w:sz w:val="21"/>
        </w:rPr>
        <w:t>MYK belgelendirmesi, işletmenin insan kaynağını daha somut ve karşılaştırılabilir yeterlilik bilgileriyle yönetmesine katkı sağlar. Çalışanların mesleki birikimlerini belgelendirmesi, işverenlerin ihtiyaç duydukları niteliklere sahip personele ulaşmasını kolaylaştırır.</w:t>
      </w:r>
    </w:p>
    <w:p w14:paraId="15E36CFE" w14:textId="77777777" w:rsidR="007C7754" w:rsidRPr="007C7754" w:rsidRDefault="007C7754" w:rsidP="00EB5131">
      <w:pPr>
        <w:numPr>
          <w:ilvl w:val="0"/>
          <w:numId w:val="1"/>
        </w:numPr>
        <w:tabs>
          <w:tab w:val="left" w:pos="425"/>
        </w:tabs>
        <w:spacing w:after="80" w:line="247" w:lineRule="auto"/>
        <w:jc w:val="both"/>
      </w:pPr>
      <w:r w:rsidRPr="007C7754">
        <w:rPr>
          <w:rFonts w:eastAsia="Arial" w:cs="Arial"/>
          <w:sz w:val="21"/>
        </w:rPr>
        <w:t>Mesleki becerinin kanıtlanması: İlgili yeterlilikte öngörülen teorik ve uygulamalı sınavlar, kişinin mesleki bilgisini ve işi yapabilme becerisini belirlenmiş ölçütlere göre ortaya koymasını sağlar.</w:t>
      </w:r>
    </w:p>
    <w:p w14:paraId="50D90D2A" w14:textId="77777777" w:rsidR="007C7754" w:rsidRPr="007C7754" w:rsidRDefault="007C7754" w:rsidP="00EB5131">
      <w:pPr>
        <w:numPr>
          <w:ilvl w:val="0"/>
          <w:numId w:val="1"/>
        </w:numPr>
        <w:tabs>
          <w:tab w:val="left" w:pos="425"/>
        </w:tabs>
        <w:spacing w:after="80" w:line="247" w:lineRule="auto"/>
        <w:jc w:val="both"/>
      </w:pPr>
      <w:r w:rsidRPr="007C7754">
        <w:rPr>
          <w:rFonts w:eastAsia="Arial" w:cs="Arial"/>
          <w:sz w:val="21"/>
        </w:rPr>
        <w:t>İşe alım ve görevlendirmede açıklık: Belgedeki meslek, seviye ve yeterlilik bilgileri, çalışanın değerlendirildiği beceriler ile görevin gerekliliklerinin karşılaştırılmasına yardımcı olur. Nitelikli personel seçimi, işletmenin insan kaynağı planlamasını destekler.</w:t>
      </w:r>
    </w:p>
    <w:p w14:paraId="31DADA47" w14:textId="77777777" w:rsidR="007C7754" w:rsidRPr="007C7754" w:rsidRDefault="007C7754" w:rsidP="00EB5131">
      <w:pPr>
        <w:numPr>
          <w:ilvl w:val="0"/>
          <w:numId w:val="1"/>
        </w:numPr>
        <w:tabs>
          <w:tab w:val="left" w:pos="425"/>
        </w:tabs>
        <w:spacing w:after="80" w:line="247" w:lineRule="auto"/>
        <w:jc w:val="both"/>
      </w:pPr>
      <w:r w:rsidRPr="007C7754">
        <w:rPr>
          <w:rFonts w:eastAsia="Arial" w:cs="Arial"/>
          <w:sz w:val="21"/>
        </w:rPr>
        <w:t>Kalite ve rekabet gücü: Mesleğin gerektirdiği niteliklere sahip çalışanların istihdam edilmesi, üretim ve hizmet kalitesinin gelişmesine ve işletmenin rekabet gücüne katkıda bulunur.</w:t>
      </w:r>
    </w:p>
    <w:p w14:paraId="33F49D5A" w14:textId="77777777" w:rsidR="007C7754" w:rsidRPr="007C7754" w:rsidRDefault="007C7754" w:rsidP="00EB5131">
      <w:pPr>
        <w:numPr>
          <w:ilvl w:val="0"/>
          <w:numId w:val="1"/>
        </w:numPr>
        <w:tabs>
          <w:tab w:val="left" w:pos="425"/>
        </w:tabs>
        <w:spacing w:after="80" w:line="247" w:lineRule="auto"/>
        <w:jc w:val="both"/>
      </w:pPr>
      <w:r w:rsidRPr="007C7754">
        <w:rPr>
          <w:rFonts w:eastAsia="Arial" w:cs="Arial"/>
          <w:sz w:val="21"/>
        </w:rPr>
        <w:t>Doğrulanabilir belge: Belge bilgilerinin e-Devlet ve MYK sistemleri üzerinden sorgulanabilmesi, belgenin gerçekliğinin ve kayıtlı durumunun kontrolünü kolaylaştırır. Bu özellik, çalışan ve işveren arasındaki güveni destekleyen somut bir unsurdur.</w:t>
      </w:r>
    </w:p>
    <w:p w14:paraId="4A454B14" w14:textId="77777777" w:rsidR="007C7754" w:rsidRPr="007C7754" w:rsidRDefault="007C7754" w:rsidP="00EB5131">
      <w:pPr>
        <w:pStyle w:val="Balk1"/>
        <w:keepLines w:val="0"/>
        <w:spacing w:before="160" w:line="259" w:lineRule="auto"/>
        <w:jc w:val="both"/>
        <w:rPr>
          <w:bCs/>
        </w:rPr>
      </w:pPr>
      <w:r w:rsidRPr="007C7754">
        <w:rPr>
          <w:rFonts w:ascii="Arial" w:eastAsia="Arial" w:hAnsi="Arial" w:cs="Arial"/>
          <w:bCs/>
          <w:sz w:val="22"/>
        </w:rPr>
        <w:t>Uluslararası Geçerliliği ve Tanınırlığı</w:t>
      </w:r>
    </w:p>
    <w:p w14:paraId="5F5E1FBF" w14:textId="77777777" w:rsidR="007C7754" w:rsidRPr="007C7754" w:rsidRDefault="007C7754" w:rsidP="00EB5131">
      <w:pPr>
        <w:spacing w:after="80" w:line="247" w:lineRule="auto"/>
        <w:jc w:val="both"/>
      </w:pPr>
      <w:r w:rsidRPr="007C7754">
        <w:rPr>
          <w:rFonts w:eastAsia="Arial" w:cs="Arial"/>
          <w:sz w:val="21"/>
        </w:rPr>
        <w:t>MYK belgelendirme sisteminin uluslararası personel belgelendirme standardına dayanması, belgenin yurt dışındaki güvenilirliğini ve tanınırlığını desteklemektedir. Türkiye Yeterlilikler Çerçevesinin (TYÇ), Avrupa Yeterlilikler Çerçevesi (AYÇ) ile ilişkilendirilmesi, yeterlilik seviyelerinin farklı ülkelerde anlaşılmasını ve karşılaştırılmasını kolaylaştırmaktadır.</w:t>
      </w:r>
    </w:p>
    <w:p w14:paraId="38F4C84A" w14:textId="77777777" w:rsidR="007C7754" w:rsidRPr="007C7754" w:rsidRDefault="007C7754" w:rsidP="00EB5131">
      <w:pPr>
        <w:spacing w:after="80" w:line="247" w:lineRule="auto"/>
        <w:jc w:val="both"/>
      </w:pPr>
      <w:r w:rsidRPr="007C7754">
        <w:rPr>
          <w:rFonts w:eastAsia="Arial" w:cs="Arial"/>
          <w:sz w:val="21"/>
        </w:rPr>
        <w:t xml:space="preserve">Belgeye ilişkin düzenlenen </w:t>
      </w:r>
      <w:proofErr w:type="spellStart"/>
      <w:r w:rsidRPr="007C7754">
        <w:rPr>
          <w:rFonts w:eastAsia="Arial" w:cs="Arial"/>
          <w:sz w:val="21"/>
        </w:rPr>
        <w:t>Europass</w:t>
      </w:r>
      <w:proofErr w:type="spellEnd"/>
      <w:r w:rsidRPr="007C7754">
        <w:rPr>
          <w:rFonts w:eastAsia="Arial" w:cs="Arial"/>
          <w:sz w:val="21"/>
        </w:rPr>
        <w:t xml:space="preserve"> Sertifika Eki, çalışanın hangi bilgi, beceri ve yetkinlikler bakımından değerlendirildiğini yabancı işverenlere ve kurumlara açıklayan ortak bir formattır. Belgelerin çift dilde düzenlenebilmesi de yurt dışındaki iş ve mesleki değerlendirme başvurularında yeterliliğin daha kolay anlaşılmasına katkı sağlar.</w:t>
      </w:r>
    </w:p>
    <w:p w14:paraId="21B499EC" w14:textId="77777777" w:rsidR="007C7754" w:rsidRPr="007C7754" w:rsidRDefault="007C7754" w:rsidP="00EB5131">
      <w:pPr>
        <w:spacing w:after="80" w:line="247" w:lineRule="auto"/>
        <w:jc w:val="both"/>
      </w:pPr>
      <w:r w:rsidRPr="007C7754">
        <w:rPr>
          <w:rFonts w:eastAsia="Arial" w:cs="Arial"/>
          <w:sz w:val="21"/>
        </w:rPr>
        <w:t>Bu yapı, çalışanların mesleki yeterliliklerini uluslararası iş ortamlarında sunmalarını destekler. Belgenin kabulü, kullanılacağı ülkenin mevzuatına ve ilgili mesleğin şartlarına göre değerlendirilir; otomatik denklik veya çalışma izni anlamına gelmez.</w:t>
      </w:r>
    </w:p>
    <w:sectPr w:rsidR="007C7754" w:rsidRPr="007C7754" w:rsidSect="007C7754">
      <w:headerReference w:type="default" r:id="rId7"/>
      <w:footerReference w:type="default" r:id="rId8"/>
      <w:pgSz w:w="11906" w:h="16838"/>
      <w:pgMar w:top="2483" w:right="907" w:bottom="1247" w:left="907" w:header="369" w:footer="3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5E1B8" w14:textId="77777777" w:rsidR="004F18D9" w:rsidRDefault="004F18D9">
      <w:pPr>
        <w:spacing w:after="0" w:line="240" w:lineRule="auto"/>
      </w:pPr>
      <w:r>
        <w:separator/>
      </w:r>
    </w:p>
  </w:endnote>
  <w:endnote w:type="continuationSeparator" w:id="0">
    <w:p w14:paraId="38BCF8A3" w14:textId="77777777" w:rsidR="004F18D9" w:rsidRDefault="004F1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50F01" w14:textId="77777777" w:rsidR="006D37B7" w:rsidRDefault="00000000">
    <w:pPr>
      <w:pBdr>
        <w:top w:val="single" w:sz="6" w:space="6" w:color="A21B53"/>
      </w:pBdr>
      <w:tabs>
        <w:tab w:val="right" w:pos="10091"/>
      </w:tabs>
      <w:spacing w:after="60" w:line="240" w:lineRule="auto"/>
    </w:pPr>
    <w:r>
      <w:rPr>
        <w:rFonts w:eastAsia="Arial" w:cs="Arial"/>
        <w:b/>
        <w:sz w:val="16"/>
      </w:rPr>
      <w:t>MEYEM Mesleki Yeterlilik ve Belgelendirme Merkezi A.Ş.</w:t>
    </w:r>
    <w:r>
      <w:rPr>
        <w:rFonts w:eastAsia="Arial" w:cs="Arial"/>
        <w:sz w:val="16"/>
      </w:rPr>
      <w:tab/>
      <w:t xml:space="preserve">Sayfa </w:t>
    </w:r>
    <w:r>
      <w:rPr>
        <w:rFonts w:eastAsia="Arial" w:cs="Arial"/>
        <w:sz w:val="16"/>
      </w:rPr>
      <w:fldChar w:fldCharType="begin"/>
    </w:r>
    <w:r>
      <w:rPr>
        <w:rFonts w:eastAsia="Arial" w:cs="Arial"/>
        <w:sz w:val="16"/>
      </w:rPr>
      <w:instrText xml:space="preserve"> PAGE </w:instrText>
    </w:r>
    <w:r>
      <w:rPr>
        <w:rFonts w:eastAsia="Arial" w:cs="Arial"/>
        <w:sz w:val="16"/>
      </w:rPr>
      <w:fldChar w:fldCharType="separate"/>
    </w:r>
    <w:r>
      <w:rPr>
        <w:rFonts w:eastAsia="Arial" w:cs="Arial"/>
        <w:sz w:val="16"/>
      </w:rPr>
      <w:t>1</w:t>
    </w:r>
    <w:r>
      <w:rPr>
        <w:rFonts w:eastAsia="Arial" w:cs="Arial"/>
        <w:sz w:val="16"/>
      </w:rPr>
      <w:fldChar w:fldCharType="end"/>
    </w:r>
    <w:r>
      <w:rPr>
        <w:rFonts w:eastAsia="Arial" w:cs="Arial"/>
        <w:sz w:val="16"/>
      </w:rPr>
      <w:t xml:space="preserve"> / </w:t>
    </w:r>
    <w:r>
      <w:rPr>
        <w:rFonts w:eastAsia="Arial" w:cs="Arial"/>
        <w:sz w:val="16"/>
      </w:rPr>
      <w:fldChar w:fldCharType="begin"/>
    </w:r>
    <w:r>
      <w:rPr>
        <w:rFonts w:eastAsia="Arial" w:cs="Arial"/>
        <w:sz w:val="16"/>
      </w:rPr>
      <w:instrText xml:space="preserve"> NUMPAGES </w:instrText>
    </w:r>
    <w:r>
      <w:rPr>
        <w:rFonts w:eastAsia="Arial" w:cs="Arial"/>
        <w:sz w:val="16"/>
      </w:rPr>
      <w:fldChar w:fldCharType="separate"/>
    </w:r>
    <w:r>
      <w:rPr>
        <w:rFonts w:eastAsia="Arial" w:cs="Arial"/>
        <w:sz w:val="16"/>
      </w:rPr>
      <w:t>1</w:t>
    </w:r>
    <w:r>
      <w:rPr>
        <w:rFonts w:eastAsia="Arial" w:cs="Arial"/>
        <w:sz w:val="16"/>
      </w:rPr>
      <w:fldChar w:fldCharType="end"/>
    </w:r>
  </w:p>
  <w:p w14:paraId="4DCD6437" w14:textId="77777777" w:rsidR="006D37B7" w:rsidRDefault="00000000">
    <w:pPr>
      <w:spacing w:after="40" w:line="240" w:lineRule="auto"/>
    </w:pPr>
    <w:r>
      <w:rPr>
        <w:rFonts w:eastAsia="Arial" w:cs="Arial"/>
        <w:sz w:val="16"/>
      </w:rPr>
      <w:t>Gazi Mah. 1307 Sok. Şimşek Apt. B Blok No:20 Zemin Kat, Yenişehir / MERSİN</w:t>
    </w:r>
  </w:p>
  <w:p w14:paraId="5B8A7D6D" w14:textId="77777777" w:rsidR="006D37B7" w:rsidRDefault="00000000">
    <w:pPr>
      <w:spacing w:after="0" w:line="240" w:lineRule="auto"/>
    </w:pPr>
    <w:r>
      <w:rPr>
        <w:rFonts w:eastAsia="Arial" w:cs="Arial"/>
        <w:sz w:val="16"/>
      </w:rPr>
      <w:t xml:space="preserve">Tel: 0324 502 11 </w:t>
    </w:r>
    <w:proofErr w:type="gramStart"/>
    <w:r>
      <w:rPr>
        <w:rFonts w:eastAsia="Arial" w:cs="Arial"/>
        <w:sz w:val="16"/>
      </w:rPr>
      <w:t>05  |</w:t>
    </w:r>
    <w:proofErr w:type="gramEnd"/>
    <w:r>
      <w:rPr>
        <w:rFonts w:eastAsia="Arial" w:cs="Arial"/>
        <w:sz w:val="16"/>
      </w:rPr>
      <w:t xml:space="preserve">  0505 024 17 24     www.meyem.com.tr     bilgi@meyem.com.tr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AB695" w14:textId="77777777" w:rsidR="004F18D9" w:rsidRDefault="004F18D9">
      <w:pPr>
        <w:spacing w:after="0" w:line="240" w:lineRule="auto"/>
      </w:pPr>
      <w:r>
        <w:separator/>
      </w:r>
    </w:p>
  </w:footnote>
  <w:footnote w:type="continuationSeparator" w:id="0">
    <w:p w14:paraId="0C467D49" w14:textId="77777777" w:rsidR="004F18D9" w:rsidRDefault="004F1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91" w:type="dxa"/>
      <w:jc w:val="center"/>
      <w:tblBorders>
        <w:top w:val="nil"/>
        <w:left w:val="nil"/>
        <w:bottom w:val="nil"/>
        <w:right w:val="nil"/>
        <w:insideH w:val="nil"/>
        <w:insideV w:val="nil"/>
      </w:tblBorders>
      <w:tblLayout w:type="fixed"/>
      <w:tblLook w:val="04A0" w:firstRow="1" w:lastRow="0" w:firstColumn="1" w:lastColumn="0" w:noHBand="0" w:noVBand="1"/>
    </w:tblPr>
    <w:tblGrid>
      <w:gridCol w:w="2013"/>
      <w:gridCol w:w="5045"/>
      <w:gridCol w:w="1502"/>
      <w:gridCol w:w="1531"/>
    </w:tblGrid>
    <w:tr w:rsidR="006D37B7" w14:paraId="4B5C9ADE" w14:textId="77777777">
      <w:trPr>
        <w:jc w:val="center"/>
      </w:trPr>
      <w:tc>
        <w:tcPr>
          <w:tcW w:w="2013" w:type="dxa"/>
          <w:tcMar>
            <w:top w:w="0" w:type="dxa"/>
            <w:left w:w="0" w:type="dxa"/>
            <w:bottom w:w="0" w:type="dxa"/>
            <w:right w:w="0" w:type="dxa"/>
          </w:tcMar>
          <w:vAlign w:val="center"/>
        </w:tcPr>
        <w:p w14:paraId="00076A05" w14:textId="77777777" w:rsidR="006D37B7" w:rsidRDefault="00000000">
          <w:pPr>
            <w:spacing w:after="0" w:line="240" w:lineRule="auto"/>
          </w:pPr>
          <w:r>
            <w:rPr>
              <w:noProof/>
            </w:rPr>
            <w:drawing>
              <wp:inline distT="0" distB="0" distL="0" distR="0" wp14:anchorId="0141065B" wp14:editId="369D86DC">
                <wp:extent cx="1069200" cy="1069200"/>
                <wp:effectExtent l="0" t="0" r="0" b="0"/>
                <wp:docPr id="1" name="Picture 1" descr="MEYEM kurumsal antet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yem_logo.png"/>
                        <pic:cNvPicPr/>
                      </pic:nvPicPr>
                      <pic:blipFill>
                        <a:blip r:embed="rId1"/>
                        <a:stretch>
                          <a:fillRect/>
                        </a:stretch>
                      </pic:blipFill>
                      <pic:spPr>
                        <a:xfrm>
                          <a:off x="0" y="0"/>
                          <a:ext cx="1069200" cy="1069200"/>
                        </a:xfrm>
                        <a:prstGeom prst="rect">
                          <a:avLst/>
                        </a:prstGeom>
                      </pic:spPr>
                    </pic:pic>
                  </a:graphicData>
                </a:graphic>
              </wp:inline>
            </w:drawing>
          </w:r>
        </w:p>
      </w:tc>
      <w:tc>
        <w:tcPr>
          <w:tcW w:w="5046" w:type="dxa"/>
          <w:tcMar>
            <w:top w:w="0" w:type="dxa"/>
            <w:left w:w="0" w:type="dxa"/>
            <w:bottom w:w="0" w:type="dxa"/>
            <w:right w:w="0" w:type="dxa"/>
          </w:tcMar>
          <w:vAlign w:val="center"/>
        </w:tcPr>
        <w:p w14:paraId="377AFD89" w14:textId="77777777" w:rsidR="006D37B7" w:rsidRDefault="00000000">
          <w:pPr>
            <w:spacing w:after="0" w:line="240" w:lineRule="auto"/>
          </w:pPr>
          <w:r>
            <w:rPr>
              <w:rFonts w:eastAsia="Arial" w:cs="Arial"/>
              <w:b/>
              <w:sz w:val="38"/>
            </w:rPr>
            <w:t>MEYEM</w:t>
          </w:r>
        </w:p>
        <w:p w14:paraId="045D41B3" w14:textId="77777777" w:rsidR="006D37B7" w:rsidRDefault="00000000">
          <w:pPr>
            <w:spacing w:after="30" w:line="250" w:lineRule="auto"/>
          </w:pPr>
          <w:r>
            <w:rPr>
              <w:rFonts w:eastAsia="Arial" w:cs="Arial"/>
              <w:b/>
              <w:sz w:val="19"/>
            </w:rPr>
            <w:t>Mesleki Yeterlilik ve</w:t>
          </w:r>
        </w:p>
        <w:p w14:paraId="08AE1160" w14:textId="77777777" w:rsidR="006D37B7" w:rsidRDefault="00000000">
          <w:pPr>
            <w:spacing w:after="30" w:line="250" w:lineRule="auto"/>
          </w:pPr>
          <w:r>
            <w:rPr>
              <w:rFonts w:eastAsia="Arial" w:cs="Arial"/>
              <w:b/>
              <w:sz w:val="19"/>
            </w:rPr>
            <w:t>Belgelendirme Merkezi A.Ş.</w:t>
          </w:r>
        </w:p>
        <w:p w14:paraId="18DD3CD6" w14:textId="77777777" w:rsidR="006D37B7" w:rsidRDefault="00000000">
          <w:pPr>
            <w:spacing w:after="30" w:line="250" w:lineRule="auto"/>
          </w:pPr>
          <w:r>
            <w:rPr>
              <w:rFonts w:eastAsia="Arial" w:cs="Arial"/>
              <w:sz w:val="16"/>
            </w:rPr>
            <w:t>Yetkilendirilmiş Belgelendirme Kuruluşu</w:t>
          </w:r>
        </w:p>
      </w:tc>
      <w:tc>
        <w:tcPr>
          <w:tcW w:w="1502" w:type="dxa"/>
          <w:tcMar>
            <w:top w:w="0" w:type="dxa"/>
            <w:left w:w="0" w:type="dxa"/>
            <w:bottom w:w="0" w:type="dxa"/>
            <w:right w:w="0" w:type="dxa"/>
          </w:tcMar>
          <w:vAlign w:val="center"/>
        </w:tcPr>
        <w:p w14:paraId="7A73909E" w14:textId="77777777" w:rsidR="006D37B7" w:rsidRDefault="00000000">
          <w:pPr>
            <w:spacing w:after="0" w:line="240" w:lineRule="auto"/>
            <w:jc w:val="center"/>
          </w:pPr>
          <w:r>
            <w:rPr>
              <w:noProof/>
            </w:rPr>
            <w:drawing>
              <wp:inline distT="0" distB="0" distL="0" distR="0" wp14:anchorId="544B696F" wp14:editId="6C189F83">
                <wp:extent cx="739078" cy="1069200"/>
                <wp:effectExtent l="0" t="0" r="0" b="0"/>
                <wp:docPr id="2" name="Picture 2" descr="MEYEM kurumsal antet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0126-P.P (2)(1).jpg"/>
                        <pic:cNvPicPr/>
                      </pic:nvPicPr>
                      <pic:blipFill>
                        <a:blip r:embed="rId2"/>
                        <a:stretch>
                          <a:fillRect/>
                        </a:stretch>
                      </pic:blipFill>
                      <pic:spPr>
                        <a:xfrm>
                          <a:off x="0" y="0"/>
                          <a:ext cx="739078" cy="1069200"/>
                        </a:xfrm>
                        <a:prstGeom prst="rect">
                          <a:avLst/>
                        </a:prstGeom>
                      </pic:spPr>
                    </pic:pic>
                  </a:graphicData>
                </a:graphic>
              </wp:inline>
            </w:drawing>
          </w:r>
        </w:p>
      </w:tc>
      <w:tc>
        <w:tcPr>
          <w:tcW w:w="1531" w:type="dxa"/>
          <w:tcMar>
            <w:top w:w="0" w:type="dxa"/>
            <w:left w:w="0" w:type="dxa"/>
            <w:bottom w:w="0" w:type="dxa"/>
            <w:right w:w="0" w:type="dxa"/>
          </w:tcMar>
          <w:vAlign w:val="center"/>
        </w:tcPr>
        <w:p w14:paraId="3E7FE40D" w14:textId="77777777" w:rsidR="006D37B7" w:rsidRDefault="00000000">
          <w:pPr>
            <w:spacing w:after="0" w:line="240" w:lineRule="auto"/>
            <w:jc w:val="right"/>
          </w:pPr>
          <w:r>
            <w:rPr>
              <w:noProof/>
            </w:rPr>
            <w:drawing>
              <wp:inline distT="0" distB="0" distL="0" distR="0" wp14:anchorId="07AC5CC7" wp14:editId="7A6FFF41">
                <wp:extent cx="801900" cy="1069200"/>
                <wp:effectExtent l="0" t="0" r="0" b="0"/>
                <wp:docPr id="3" name="Picture 3" descr="MEYEM kurumsal antet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logo_79(2).jpg"/>
                        <pic:cNvPicPr/>
                      </pic:nvPicPr>
                      <pic:blipFill>
                        <a:blip r:embed="rId3"/>
                        <a:stretch>
                          <a:fillRect/>
                        </a:stretch>
                      </pic:blipFill>
                      <pic:spPr>
                        <a:xfrm>
                          <a:off x="0" y="0"/>
                          <a:ext cx="801900" cy="1069200"/>
                        </a:xfrm>
                        <a:prstGeom prst="rect">
                          <a:avLst/>
                        </a:prstGeom>
                      </pic:spPr>
                    </pic:pic>
                  </a:graphicData>
                </a:graphic>
              </wp:inline>
            </w:drawing>
          </w:r>
        </w:p>
      </w:tc>
    </w:tr>
  </w:tbl>
  <w:p w14:paraId="3AAE0FD0" w14:textId="77777777" w:rsidR="006D37B7" w:rsidRDefault="006D37B7">
    <w:pPr>
      <w:pBdr>
        <w:bottom w:val="single" w:sz="9" w:space="1" w:color="A21B53"/>
      </w:pBdr>
      <w:spacing w:before="80" w:after="0"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9563F"/>
    <w:multiLevelType w:val="multilevel"/>
    <w:tmpl w:val="F56CCA8C"/>
    <w:lvl w:ilvl="0">
      <w:start w:val="1"/>
      <w:numFmt w:val="bullet"/>
      <w:lvlText w:val=""/>
      <w:lvlJc w:val="left"/>
      <w:pPr>
        <w:tabs>
          <w:tab w:val="num" w:pos="425"/>
        </w:tabs>
        <w:ind w:left="425" w:hanging="340"/>
      </w:pPr>
      <w:rPr>
        <w:rFonts w:ascii="Symbol" w:hAnsi="Symbol" w:hint="default"/>
        <w:sz w:val="20"/>
      </w:rPr>
    </w:lvl>
    <w:lvl w:ilvl="1" w:tentative="1">
      <w:start w:val="1"/>
      <w:numFmt w:val="bullet"/>
      <w:lvlText w:val="o"/>
      <w:lvlJc w:val="left"/>
      <w:pPr>
        <w:tabs>
          <w:tab w:val="num" w:pos="425"/>
        </w:tabs>
        <w:ind w:left="425" w:hanging="340"/>
      </w:pPr>
      <w:rPr>
        <w:rFonts w:ascii="Courier New" w:hAnsi="Courier New" w:hint="default"/>
        <w:sz w:val="20"/>
      </w:rPr>
    </w:lvl>
    <w:lvl w:ilvl="2" w:tentative="1">
      <w:start w:val="1"/>
      <w:numFmt w:val="bullet"/>
      <w:lvlText w:val=""/>
      <w:lvlJc w:val="left"/>
      <w:pPr>
        <w:tabs>
          <w:tab w:val="num" w:pos="425"/>
        </w:tabs>
        <w:ind w:left="425" w:hanging="340"/>
      </w:pPr>
      <w:rPr>
        <w:rFonts w:ascii="Wingdings" w:hAnsi="Wingdings" w:hint="default"/>
        <w:sz w:val="20"/>
      </w:rPr>
    </w:lvl>
    <w:lvl w:ilvl="3" w:tentative="1">
      <w:start w:val="1"/>
      <w:numFmt w:val="bullet"/>
      <w:lvlText w:val=""/>
      <w:lvlJc w:val="left"/>
      <w:pPr>
        <w:tabs>
          <w:tab w:val="num" w:pos="425"/>
        </w:tabs>
        <w:ind w:left="425" w:hanging="340"/>
      </w:pPr>
      <w:rPr>
        <w:rFonts w:ascii="Wingdings" w:hAnsi="Wingdings" w:hint="default"/>
        <w:sz w:val="20"/>
      </w:rPr>
    </w:lvl>
    <w:lvl w:ilvl="4" w:tentative="1">
      <w:start w:val="1"/>
      <w:numFmt w:val="bullet"/>
      <w:lvlText w:val=""/>
      <w:lvlJc w:val="left"/>
      <w:pPr>
        <w:tabs>
          <w:tab w:val="num" w:pos="425"/>
        </w:tabs>
        <w:ind w:left="425" w:hanging="340"/>
      </w:pPr>
      <w:rPr>
        <w:rFonts w:ascii="Wingdings" w:hAnsi="Wingdings" w:hint="default"/>
        <w:sz w:val="20"/>
      </w:rPr>
    </w:lvl>
    <w:lvl w:ilvl="5" w:tentative="1">
      <w:start w:val="1"/>
      <w:numFmt w:val="bullet"/>
      <w:lvlText w:val=""/>
      <w:lvlJc w:val="left"/>
      <w:pPr>
        <w:tabs>
          <w:tab w:val="num" w:pos="425"/>
        </w:tabs>
        <w:ind w:left="425" w:hanging="340"/>
      </w:pPr>
      <w:rPr>
        <w:rFonts w:ascii="Wingdings" w:hAnsi="Wingdings" w:hint="default"/>
        <w:sz w:val="20"/>
      </w:rPr>
    </w:lvl>
    <w:lvl w:ilvl="6" w:tentative="1">
      <w:start w:val="1"/>
      <w:numFmt w:val="bullet"/>
      <w:lvlText w:val=""/>
      <w:lvlJc w:val="left"/>
      <w:pPr>
        <w:tabs>
          <w:tab w:val="num" w:pos="425"/>
        </w:tabs>
        <w:ind w:left="425" w:hanging="340"/>
      </w:pPr>
      <w:rPr>
        <w:rFonts w:ascii="Wingdings" w:hAnsi="Wingdings" w:hint="default"/>
        <w:sz w:val="20"/>
      </w:rPr>
    </w:lvl>
    <w:lvl w:ilvl="7" w:tentative="1">
      <w:start w:val="1"/>
      <w:numFmt w:val="bullet"/>
      <w:lvlText w:val=""/>
      <w:lvlJc w:val="left"/>
      <w:pPr>
        <w:tabs>
          <w:tab w:val="num" w:pos="425"/>
        </w:tabs>
        <w:ind w:left="425" w:hanging="340"/>
      </w:pPr>
      <w:rPr>
        <w:rFonts w:ascii="Wingdings" w:hAnsi="Wingdings" w:hint="default"/>
        <w:sz w:val="20"/>
      </w:rPr>
    </w:lvl>
    <w:lvl w:ilvl="8" w:tentative="1">
      <w:start w:val="1"/>
      <w:numFmt w:val="bullet"/>
      <w:lvlText w:val=""/>
      <w:lvlJc w:val="left"/>
      <w:pPr>
        <w:tabs>
          <w:tab w:val="num" w:pos="425"/>
        </w:tabs>
        <w:ind w:left="425" w:hanging="340"/>
      </w:pPr>
      <w:rPr>
        <w:rFonts w:ascii="Wingdings" w:hAnsi="Wingdings" w:hint="default"/>
        <w:sz w:val="20"/>
      </w:rPr>
    </w:lvl>
  </w:abstractNum>
  <w:num w:numId="1" w16cid:durableId="1928420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95B"/>
    <w:rsid w:val="00217C1E"/>
    <w:rsid w:val="002B6CF9"/>
    <w:rsid w:val="00314DE0"/>
    <w:rsid w:val="004774FB"/>
    <w:rsid w:val="004F18D9"/>
    <w:rsid w:val="0060593E"/>
    <w:rsid w:val="006D37B7"/>
    <w:rsid w:val="007C7754"/>
    <w:rsid w:val="00B31D16"/>
    <w:rsid w:val="00BA333F"/>
    <w:rsid w:val="00EB5131"/>
    <w:rsid w:val="00EB695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335BB"/>
  <w15:chartTrackingRefBased/>
  <w15:docId w15:val="{B5880B6C-7575-4356-86D8-ABA9332F4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olor w:val="000000"/>
      <w:sz w:val="22"/>
    </w:rPr>
  </w:style>
  <w:style w:type="paragraph" w:styleId="Balk1">
    <w:name w:val="heading 1"/>
    <w:basedOn w:val="Normal"/>
    <w:next w:val="Normal"/>
    <w:link w:val="Balk1Char"/>
    <w:uiPriority w:val="9"/>
    <w:qFormat/>
    <w:rsid w:val="00EB695B"/>
    <w:pPr>
      <w:keepNext/>
      <w:keepLines/>
      <w:spacing w:before="360" w:after="80"/>
      <w:outlineLvl w:val="0"/>
    </w:pPr>
    <w:rPr>
      <w:rFonts w:asciiTheme="majorHAnsi" w:eastAsiaTheme="majorEastAsia" w:hAnsiTheme="majorHAnsi" w:cstheme="majorBidi"/>
      <w:b/>
      <w:sz w:val="23"/>
      <w:szCs w:val="40"/>
    </w:rPr>
  </w:style>
  <w:style w:type="paragraph" w:styleId="Balk2">
    <w:name w:val="heading 2"/>
    <w:basedOn w:val="Normal"/>
    <w:next w:val="Normal"/>
    <w:link w:val="Balk2Char"/>
    <w:uiPriority w:val="9"/>
    <w:semiHidden/>
    <w:unhideWhenUsed/>
    <w:qFormat/>
    <w:rsid w:val="00EB695B"/>
    <w:pPr>
      <w:keepNext/>
      <w:keepLines/>
      <w:spacing w:before="160" w:after="80"/>
      <w:outlineLvl w:val="1"/>
    </w:pPr>
    <w:rPr>
      <w:rFonts w:asciiTheme="majorHAnsi" w:eastAsiaTheme="majorEastAsia" w:hAnsiTheme="majorHAnsi" w:cstheme="majorBidi"/>
      <w:b/>
      <w:szCs w:val="32"/>
    </w:rPr>
  </w:style>
  <w:style w:type="paragraph" w:styleId="Balk3">
    <w:name w:val="heading 3"/>
    <w:basedOn w:val="Normal"/>
    <w:next w:val="Normal"/>
    <w:link w:val="Balk3Char"/>
    <w:uiPriority w:val="9"/>
    <w:semiHidden/>
    <w:unhideWhenUsed/>
    <w:qFormat/>
    <w:rsid w:val="00EB695B"/>
    <w:pPr>
      <w:keepNext/>
      <w:keepLines/>
      <w:spacing w:before="160" w:after="80"/>
      <w:outlineLvl w:val="2"/>
    </w:pPr>
    <w:rPr>
      <w:rFonts w:eastAsiaTheme="majorEastAsia" w:cstheme="majorBidi"/>
      <w:szCs w:val="28"/>
    </w:rPr>
  </w:style>
  <w:style w:type="paragraph" w:styleId="Balk4">
    <w:name w:val="heading 4"/>
    <w:basedOn w:val="Normal"/>
    <w:next w:val="Normal"/>
    <w:link w:val="Balk4Char"/>
    <w:uiPriority w:val="9"/>
    <w:semiHidden/>
    <w:unhideWhenUsed/>
    <w:qFormat/>
    <w:rsid w:val="00EB695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B695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B695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B695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B695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B695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B695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B695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B695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B695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B695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B695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B695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B695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B695B"/>
    <w:rPr>
      <w:rFonts w:eastAsiaTheme="majorEastAsia" w:cstheme="majorBidi"/>
      <w:color w:val="272727" w:themeColor="text1" w:themeTint="D8"/>
    </w:rPr>
  </w:style>
  <w:style w:type="paragraph" w:styleId="KonuBal">
    <w:name w:val="Title"/>
    <w:basedOn w:val="Normal"/>
    <w:next w:val="Normal"/>
    <w:link w:val="KonuBalChar"/>
    <w:uiPriority w:val="10"/>
    <w:qFormat/>
    <w:rsid w:val="00EB695B"/>
    <w:pPr>
      <w:spacing w:after="80" w:line="240" w:lineRule="auto"/>
      <w:contextualSpacing/>
    </w:pPr>
    <w:rPr>
      <w:rFonts w:asciiTheme="majorHAnsi" w:eastAsiaTheme="majorEastAsia" w:hAnsiTheme="majorHAnsi" w:cstheme="majorBidi"/>
      <w:b/>
      <w:spacing w:val="-10"/>
      <w:kern w:val="28"/>
      <w:sz w:val="32"/>
      <w:szCs w:val="56"/>
    </w:rPr>
  </w:style>
  <w:style w:type="character" w:customStyle="1" w:styleId="KonuBalChar">
    <w:name w:val="Konu Başlığı Char"/>
    <w:basedOn w:val="VarsaylanParagrafYazTipi"/>
    <w:link w:val="KonuBal"/>
    <w:uiPriority w:val="10"/>
    <w:rsid w:val="00EB695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B695B"/>
    <w:pPr>
      <w:numPr>
        <w:ilvl w:val="1"/>
      </w:numPr>
    </w:pPr>
    <w:rPr>
      <w:rFonts w:eastAsiaTheme="majorEastAsia" w:cstheme="majorBidi"/>
      <w:spacing w:val="15"/>
      <w:szCs w:val="28"/>
    </w:rPr>
  </w:style>
  <w:style w:type="character" w:customStyle="1" w:styleId="AltyazChar">
    <w:name w:val="Altyazı Char"/>
    <w:basedOn w:val="VarsaylanParagrafYazTipi"/>
    <w:link w:val="Altyaz"/>
    <w:uiPriority w:val="11"/>
    <w:rsid w:val="00EB695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B695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B695B"/>
    <w:rPr>
      <w:i/>
      <w:iCs/>
      <w:color w:val="404040" w:themeColor="text1" w:themeTint="BF"/>
    </w:rPr>
  </w:style>
  <w:style w:type="paragraph" w:styleId="ListeParagraf">
    <w:name w:val="List Paragraph"/>
    <w:basedOn w:val="Normal"/>
    <w:uiPriority w:val="34"/>
    <w:qFormat/>
    <w:rsid w:val="00EB695B"/>
    <w:pPr>
      <w:ind w:left="720"/>
      <w:contextualSpacing/>
    </w:pPr>
  </w:style>
  <w:style w:type="character" w:styleId="GlVurgulama">
    <w:name w:val="Intense Emphasis"/>
    <w:basedOn w:val="VarsaylanParagrafYazTipi"/>
    <w:uiPriority w:val="21"/>
    <w:qFormat/>
    <w:rsid w:val="00EB695B"/>
    <w:rPr>
      <w:i/>
      <w:iCs/>
      <w:color w:val="0F4761" w:themeColor="accent1" w:themeShade="BF"/>
    </w:rPr>
  </w:style>
  <w:style w:type="paragraph" w:styleId="GlAlnt">
    <w:name w:val="Intense Quote"/>
    <w:basedOn w:val="Normal"/>
    <w:next w:val="Normal"/>
    <w:link w:val="GlAlntChar"/>
    <w:uiPriority w:val="30"/>
    <w:qFormat/>
    <w:rsid w:val="00EB69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B695B"/>
    <w:rPr>
      <w:i/>
      <w:iCs/>
      <w:color w:val="0F4761" w:themeColor="accent1" w:themeShade="BF"/>
    </w:rPr>
  </w:style>
  <w:style w:type="character" w:styleId="GlBavuru">
    <w:name w:val="Intense Reference"/>
    <w:basedOn w:val="VarsaylanParagrafYazTipi"/>
    <w:uiPriority w:val="32"/>
    <w:qFormat/>
    <w:rsid w:val="00EB695B"/>
    <w:rPr>
      <w:b/>
      <w:bCs/>
      <w:smallCaps/>
      <w:color w:val="0F4761" w:themeColor="accent1" w:themeShade="BF"/>
      <w:spacing w:val="5"/>
    </w:rPr>
  </w:style>
  <w:style w:type="paragraph" w:customStyle="1" w:styleId="GvdeMetni1">
    <w:name w:val="Gövde Metni1"/>
    <w:basedOn w:val="Normal"/>
  </w:style>
  <w:style w:type="paragraph" w:customStyle="1" w:styleId="AralkYok1">
    <w:name w:val="Aralık Yok1"/>
    <w:basedOn w:val="Normal"/>
  </w:style>
  <w:style w:type="paragraph" w:customStyle="1" w:styleId="stBilgi1">
    <w:name w:val="Üst Bilgi1"/>
    <w:basedOn w:val="Normal"/>
  </w:style>
  <w:style w:type="paragraph" w:customStyle="1" w:styleId="AltBilgi1">
    <w:name w:val="Alt Bilgi1"/>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574</Words>
  <Characters>3273</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MYK MESLEKİ YETERLİLİK BELGESİNİN ULUSAL VE ULUSLARARASI GEÇERLİLİĞİ</dc:title>
  <dc:subject/>
  <dc:creator>MEYEM Mesleki Yeterlilik ve Belgelendirme Merkezi A.Ş.</dc:creator>
  <cp:keywords/>
  <dc:description/>
  <cp:lastModifiedBy>Turgut Şimşek</cp:lastModifiedBy>
  <cp:revision>3</cp:revision>
  <dcterms:created xsi:type="dcterms:W3CDTF">2026-10-07T12:06:00Z</dcterms:created>
  <dcterms:modified xsi:type="dcterms:W3CDTF">2026-10-07T15:12:00Z</dcterms:modified>
</cp:coreProperties>
</file>